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SPECIAL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NOVEMBER 25TH,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Special Meeting to order at 4:05PM.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talked about Chenango County's involvement in the budget process to make sure all municipalities comply with all budget requirements.  She informed the town board that the County had made the suggestion to start both the A &amp; B Funds with a zero balance, and to take out the Capital Project line amount, so that everything evens out.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commented on the B Fund, and that by bringing that balance to zero, it lowers our property tax by $2,000.00.  She also suggested moving sales tax money to the B Fund, and being more careful with our spending.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conversation about their communication with Chenango County, on how to better balance the budget to help the situation at hand.  They talked about moving sales tax money to help both the A &amp; B Fund, and noted that a resolution would need to be passed next year to do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After reviewing the current changes to the budget, the town board was still able to stay under the tax cap.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adopt the 'New' 2020 Budget.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mentioned getting the last five years of budgets from Town Clerk McKown, to review the numbers of the Youth Program contractual.  She also suggested inviting our new Assessor Faline Ward to our next regular meeting to see how she's adjusting and if she needs any additional support.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recognizing our previous Assessor Richard Koppenaal at the town's 'After The Holidays' party.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that after following up with the Association of Towns, that Councilman Evans would not be able to serve on the Board of Assessment Review and the Town Board.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said that he had someone in mind to fill his position on the Board of Assessment Review.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proposed the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of January for the 'After The Holidays' party, and informed the town board that the 'Toys for Tots' will come in the form of a 'convoy' and not a train, and will stop at Clinton Park this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asked the town board if they had had a chance to review the regular meeting minutes for the month of November yet, as Thoma had asked for a copy of those minutes to be submitted with the Housing Grant paperwork.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4:40PM.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